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宋体" w:eastAsia="方正小标宋简体"/>
          <w:b/>
          <w:sz w:val="44"/>
          <w:szCs w:val="44"/>
          <w:lang w:eastAsia="zh-CN"/>
        </w:rPr>
      </w:pPr>
      <w:r>
        <w:rPr>
          <w:rFonts w:hint="eastAsia" w:ascii="方正小标宋简体" w:hAnsi="宋体" w:eastAsia="方正小标宋简体"/>
          <w:b/>
          <w:sz w:val="44"/>
          <w:szCs w:val="44"/>
          <w:lang w:eastAsia="zh-CN"/>
        </w:rPr>
        <w:t>广东南方职业学院</w:t>
      </w:r>
    </w:p>
    <w:p>
      <w:pPr>
        <w:spacing w:line="520" w:lineRule="exact"/>
        <w:jc w:val="center"/>
        <w:rPr>
          <w:rFonts w:hint="eastAsia" w:ascii="方正小标宋简体" w:hAnsi="宋体" w:eastAsia="方正小标宋简体"/>
          <w:b/>
          <w:sz w:val="44"/>
          <w:szCs w:val="44"/>
          <w:lang w:eastAsia="zh-CN"/>
        </w:rPr>
      </w:pPr>
      <w:r>
        <w:rPr>
          <w:rFonts w:hint="eastAsia" w:ascii="方正小标宋简体" w:hAnsi="宋体" w:eastAsia="方正小标宋简体"/>
          <w:b/>
          <w:sz w:val="44"/>
          <w:szCs w:val="44"/>
          <w:lang w:eastAsia="zh-CN"/>
        </w:rPr>
        <w:t>岗位设置与聘用管理办法</w:t>
      </w:r>
    </w:p>
    <w:p>
      <w:pPr>
        <w:spacing w:line="520" w:lineRule="exact"/>
        <w:rPr>
          <w:rFonts w:ascii="方正小标宋简体" w:hAnsi="宋体" w:eastAsia="方正小标宋简体"/>
          <w:b/>
          <w:sz w:val="44"/>
          <w:szCs w:val="44"/>
        </w:rPr>
      </w:pPr>
    </w:p>
    <w:p>
      <w:pPr>
        <w:spacing w:line="520" w:lineRule="exact"/>
        <w:rPr>
          <w:rFonts w:ascii="仿宋_GB2312" w:eastAsia="仿宋_GB2312"/>
          <w:sz w:val="32"/>
          <w:szCs w:val="32"/>
        </w:rPr>
      </w:pPr>
      <w:r>
        <w:rPr>
          <w:rFonts w:hint="eastAsia" w:ascii="方正小标宋简体" w:hAnsi="宋体" w:eastAsia="方正小标宋简体"/>
          <w:b/>
          <w:sz w:val="44"/>
          <w:szCs w:val="44"/>
        </w:rPr>
        <w:t xml:space="preserve">   </w:t>
      </w:r>
      <w:r>
        <w:rPr>
          <w:rFonts w:hint="eastAsia" w:ascii="仿宋_GB2312" w:hAnsi="宋体" w:eastAsia="仿宋_GB2312"/>
          <w:sz w:val="32"/>
          <w:szCs w:val="32"/>
          <w:lang w:eastAsia="zh-CN"/>
        </w:rPr>
        <w:t>为进一步推进人事制度改革，切实做好我院岗位设置与聘用管理工作，建设一支结构合理、素质优良、精干高效的教职工队伍，根据《关于广东省深化高等教育领域简政放权放管结合优化服务改革的实施意见》（粤教人</w:t>
      </w:r>
      <w:r>
        <w:rPr>
          <w:rFonts w:hint="eastAsia" w:ascii="仿宋_GB2312" w:hAnsi="宋体" w:eastAsia="仿宋_GB2312"/>
          <w:sz w:val="32"/>
          <w:szCs w:val="32"/>
          <w:lang w:val="en-US" w:eastAsia="zh-CN"/>
        </w:rPr>
        <w:t>[2017]5号）和《广东省高等学校岗位设置管理指导意见》（粤人社发[2017]105号）文件精神，结合我院实际，特制定本校岗位设置与聘用管理办法。</w:t>
      </w:r>
    </w:p>
    <w:p>
      <w:pPr>
        <w:spacing w:line="520" w:lineRule="exact"/>
        <w:ind w:firstLine="643" w:firstLineChars="200"/>
        <w:rPr>
          <w:rFonts w:ascii="黑体" w:eastAsia="黑体"/>
          <w:sz w:val="32"/>
          <w:szCs w:val="32"/>
        </w:rPr>
      </w:pPr>
      <w:r>
        <w:rPr>
          <w:rFonts w:hint="eastAsia" w:ascii="黑体" w:hAnsi="黑体" w:eastAsia="黑体" w:cs="黑体"/>
          <w:b/>
          <w:bCs w:val="0"/>
          <w:sz w:val="32"/>
          <w:szCs w:val="32"/>
        </w:rPr>
        <w:t>一、</w:t>
      </w:r>
      <w:r>
        <w:rPr>
          <w:rFonts w:hint="eastAsia" w:ascii="黑体" w:hAnsi="黑体" w:eastAsia="黑体" w:cs="黑体"/>
          <w:b/>
          <w:bCs w:val="0"/>
          <w:sz w:val="32"/>
          <w:szCs w:val="32"/>
          <w:lang w:eastAsia="zh-CN"/>
        </w:rPr>
        <w:t>指导思想</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通过建立以岗位聘用为核心的全员聘用，分层次聘任用人制度，合理配置人力资源，提高用人效益，实现由身份管理向岗位管理的转变，由固定用人向合同用人转变，充分调动各类人员的积极性、创造性，建设一支全员育人、全方位育人、全过程育人、全心育人的高素质教职工队伍，促进学院事业发展。</w:t>
      </w:r>
    </w:p>
    <w:p>
      <w:pPr>
        <w:spacing w:line="520" w:lineRule="exact"/>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二、</w:t>
      </w:r>
      <w:r>
        <w:rPr>
          <w:rFonts w:hint="eastAsia" w:ascii="黑体" w:hAnsi="黑体" w:eastAsia="黑体" w:cs="黑体"/>
          <w:b/>
          <w:bCs w:val="0"/>
          <w:sz w:val="32"/>
          <w:szCs w:val="32"/>
          <w:lang w:eastAsia="zh-CN"/>
        </w:rPr>
        <w:t>基本原则</w:t>
      </w:r>
      <w:r>
        <w:rPr>
          <w:rFonts w:hint="eastAsia" w:ascii="黑体" w:hAnsi="黑体" w:eastAsia="黑体" w:cs="黑体"/>
          <w:b/>
          <w:bCs w:val="0"/>
          <w:sz w:val="32"/>
          <w:szCs w:val="32"/>
          <w:lang w:val="en-US" w:eastAsia="zh-CN"/>
        </w:rPr>
        <w:t xml:space="preserve"> </w:t>
      </w:r>
    </w:p>
    <w:p>
      <w:pPr>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（一）坚持按需设岗、宏观调控的原则；</w:t>
      </w:r>
    </w:p>
    <w:p>
      <w:pPr>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（二）坚持优化结构、精干高效的原则；</w:t>
      </w:r>
    </w:p>
    <w:p>
      <w:pPr>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（三）坚持按岗聘用、规范管理的原则；</w:t>
      </w:r>
    </w:p>
    <w:p>
      <w:pPr>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（四）坚持以德为先、德才兼备的原则；</w:t>
      </w:r>
    </w:p>
    <w:p>
      <w:pPr>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（五）坚持评价机制与竞争机制相结合的原则。</w:t>
      </w:r>
    </w:p>
    <w:p>
      <w:pPr>
        <w:spacing w:line="520" w:lineRule="exact"/>
        <w:ind w:firstLine="643" w:firstLineChars="200"/>
        <w:rPr>
          <w:rFonts w:hint="eastAsia" w:ascii="黑体" w:hAnsi="黑体" w:eastAsia="黑体" w:cs="黑体"/>
          <w:b/>
          <w:bCs w:val="0"/>
          <w:sz w:val="32"/>
          <w:szCs w:val="32"/>
          <w:lang w:eastAsia="zh-CN"/>
        </w:rPr>
      </w:pPr>
      <w:r>
        <w:rPr>
          <w:rFonts w:hint="eastAsia" w:ascii="黑体" w:hAnsi="黑体" w:eastAsia="黑体" w:cs="黑体"/>
          <w:b/>
          <w:bCs w:val="0"/>
          <w:sz w:val="32"/>
          <w:szCs w:val="32"/>
        </w:rPr>
        <w:t>三、</w:t>
      </w:r>
      <w:r>
        <w:rPr>
          <w:rFonts w:hint="eastAsia" w:ascii="黑体" w:hAnsi="黑体" w:eastAsia="黑体" w:cs="黑体"/>
          <w:b/>
          <w:bCs w:val="0"/>
          <w:sz w:val="32"/>
          <w:szCs w:val="32"/>
          <w:lang w:eastAsia="zh-CN"/>
        </w:rPr>
        <w:t>组织机构</w:t>
      </w:r>
    </w:p>
    <w:p>
      <w:pPr>
        <w:spacing w:line="52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一）学院成立“广东南方职业学院岗位设置与聘用管理工作领导小组”（以下简称领导小组），领导小组由董事会和学院主要领导、相关职能部门负责人组成。领导小组负责全校各类岗位设置与聘用管理工作，对学校岗位聘用工作指导和监督。领导小组组长由院长担任，下设办公室（办公室设在人事处）。</w:t>
      </w:r>
    </w:p>
    <w:p>
      <w:pPr>
        <w:spacing w:line="520" w:lineRule="exa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b w:val="0"/>
          <w:bCs/>
          <w:sz w:val="32"/>
          <w:szCs w:val="32"/>
          <w:lang w:eastAsia="zh-CN"/>
        </w:rPr>
        <w:t>（二）各部门成立岗位设置与聘用工作小组（以下简称工作小组），工作小组组长由部门负责人担任，负责对申报人员材料审查，初评及推荐。</w:t>
      </w:r>
    </w:p>
    <w:p>
      <w:pPr>
        <w:spacing w:line="520" w:lineRule="exact"/>
        <w:ind w:firstLine="643" w:firstLineChars="200"/>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四</w:t>
      </w:r>
      <w:r>
        <w:rPr>
          <w:rFonts w:hint="eastAsia" w:ascii="黑体" w:hAnsi="黑体" w:eastAsia="黑体" w:cs="黑体"/>
          <w:b/>
          <w:bCs w:val="0"/>
          <w:sz w:val="32"/>
          <w:szCs w:val="32"/>
        </w:rPr>
        <w:t>、</w:t>
      </w:r>
      <w:r>
        <w:rPr>
          <w:rFonts w:hint="eastAsia" w:ascii="黑体" w:hAnsi="黑体" w:eastAsia="黑体" w:cs="黑体"/>
          <w:b/>
          <w:bCs w:val="0"/>
          <w:sz w:val="32"/>
          <w:szCs w:val="32"/>
          <w:lang w:eastAsia="zh-CN"/>
        </w:rPr>
        <w:t>适用范围</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（一）本校已订劳动合同和聘用合同的全体教职工。</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（二）管理岗位中，涉及学校领导人员的，按照董事会的决议执行。</w:t>
      </w:r>
    </w:p>
    <w:p>
      <w:pPr>
        <w:spacing w:line="520" w:lineRule="exact"/>
        <w:ind w:firstLine="643" w:firstLineChars="200"/>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五</w:t>
      </w:r>
      <w:r>
        <w:rPr>
          <w:rFonts w:hint="eastAsia" w:ascii="黑体" w:hAnsi="黑体" w:eastAsia="黑体" w:cs="黑体"/>
          <w:b/>
          <w:bCs w:val="0"/>
          <w:sz w:val="32"/>
          <w:szCs w:val="32"/>
        </w:rPr>
        <w:t>、</w:t>
      </w:r>
      <w:r>
        <w:rPr>
          <w:rFonts w:hint="eastAsia" w:ascii="黑体" w:hAnsi="黑体" w:eastAsia="黑体" w:cs="黑体"/>
          <w:b/>
          <w:bCs w:val="0"/>
          <w:sz w:val="32"/>
          <w:szCs w:val="32"/>
          <w:lang w:eastAsia="zh-CN"/>
        </w:rPr>
        <w:t>岗位类别设置</w:t>
      </w:r>
    </w:p>
    <w:p>
      <w:pPr>
        <w:spacing w:line="52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（一）岗位总量：根据现有教职工数和学校事业发展需要综合确定总量，报董事会批准后实施。</w:t>
      </w:r>
    </w:p>
    <w:p>
      <w:pPr>
        <w:spacing w:line="52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（二）岗位类别：分为管理岗位、专业技术岗位、工勤技能岗位（以下简称三类岗位）三种类别。</w:t>
      </w:r>
    </w:p>
    <w:p>
      <w:pPr>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1.管理岗位：是指担负领导职责和内设机构担负管理任务的工作岗位。管理岗位的设置要适应学校运转效能，提高工作效率，提升管理水平的需要。</w:t>
      </w:r>
    </w:p>
    <w:p>
      <w:pPr>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专业技术岗位：是指从事专业技术工作，具有相应专业技术水平和能力要求的工作岗位。专业技术岗位设置要符合高等职业教育和人才成长的规律特点，提高专业水平的需要。学校的专业技术岗位分为教师岗位和其他专业技术岗位，其中教师岗位为主要系列岗位，其他专业技术岗位为辅助系列专业技术岗位。</w:t>
      </w:r>
    </w:p>
    <w:p>
      <w:pPr>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①教师岗位包括具有教育教学、科学研究工作职责和相应能力水平要求的专业技术岗位。</w:t>
      </w:r>
    </w:p>
    <w:p>
      <w:pPr>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②辅助系列专业技术岗位包括图书资料、档案管理、实验实训等专业技术岗位。</w:t>
      </w:r>
    </w:p>
    <w:p>
      <w:pPr>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③工勤技能岗位是指承担技能操作和维护、后勤保障、服务等职责的工作岗位。工勤技能岗位的设置要适应提高操作维护技能，提升服务水平的要求，满足学校教学研究和日常运行等需要，并积极推行后勤服务社会化，逐步实现不再设置相应的工勤技能岗位。</w:t>
      </w:r>
    </w:p>
    <w:p>
      <w:pPr>
        <w:numPr>
          <w:ilvl w:val="0"/>
          <w:numId w:val="1"/>
        </w:numPr>
        <w:spacing w:line="52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岗位结构比例</w:t>
      </w:r>
    </w:p>
    <w:p>
      <w:pPr>
        <w:numPr>
          <w:ilvl w:val="0"/>
          <w:numId w:val="0"/>
        </w:numPr>
        <w:spacing w:line="52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根据类别、层次和功能，结合职责任务、工作性质和人员结构特点等因素和学校发展趋势，严格控制三类岗位总量的结构比例。</w:t>
      </w:r>
    </w:p>
    <w:p>
      <w:pPr>
        <w:numPr>
          <w:ilvl w:val="0"/>
          <w:numId w:val="0"/>
        </w:numPr>
        <w:spacing w:line="520" w:lineRule="exact"/>
        <w:jc w:val="righ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岗位设置结构表             （表一）</w:t>
      </w:r>
    </w:p>
    <w:tbl>
      <w:tblPr>
        <w:tblStyle w:val="10"/>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211"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岗位总量</w:t>
            </w:r>
          </w:p>
        </w:tc>
        <w:tc>
          <w:tcPr>
            <w:tcW w:w="2211"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管理岗位</w:t>
            </w:r>
          </w:p>
        </w:tc>
        <w:tc>
          <w:tcPr>
            <w:tcW w:w="2211"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专业技术岗位</w:t>
            </w:r>
          </w:p>
        </w:tc>
        <w:tc>
          <w:tcPr>
            <w:tcW w:w="2211"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工勤技能岗位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211"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各类岗位比例</w:t>
            </w:r>
          </w:p>
        </w:tc>
        <w:tc>
          <w:tcPr>
            <w:tcW w:w="2211"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≤18%</w:t>
            </w:r>
          </w:p>
        </w:tc>
        <w:tc>
          <w:tcPr>
            <w:tcW w:w="2211"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≥75%</w:t>
            </w:r>
          </w:p>
        </w:tc>
        <w:tc>
          <w:tcPr>
            <w:tcW w:w="2211"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≤7%</w:t>
            </w:r>
          </w:p>
        </w:tc>
      </w:tr>
    </w:tbl>
    <w:p>
      <w:pPr>
        <w:numPr>
          <w:ilvl w:val="0"/>
          <w:numId w:val="0"/>
        </w:numPr>
        <w:spacing w:line="520" w:lineRule="exact"/>
        <w:ind w:left="0" w:leftChars="0" w:firstLine="643" w:firstLineChars="200"/>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六、岗位等级设置</w:t>
      </w:r>
    </w:p>
    <w:p>
      <w:pPr>
        <w:numPr>
          <w:ilvl w:val="0"/>
          <w:numId w:val="0"/>
        </w:numPr>
        <w:spacing w:line="52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学校实行岗位总量、结构比例和最高等级控制。</w:t>
      </w:r>
    </w:p>
    <w:p>
      <w:pPr>
        <w:numPr>
          <w:ilvl w:val="0"/>
          <w:numId w:val="0"/>
        </w:numPr>
        <w:spacing w:line="52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（一）管理岗位等级设置</w:t>
      </w:r>
    </w:p>
    <w:p>
      <w:pPr>
        <w:numPr>
          <w:ilvl w:val="0"/>
          <w:numId w:val="2"/>
        </w:numPr>
        <w:spacing w:line="520" w:lineRule="exact"/>
        <w:ind w:left="0" w:leftChars="0" w:firstLine="636" w:firstLineChars="19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管理岗位的最高等级、结构比例和各等级管理岗位的数量，根据学校的规格、规模和发展需要确定，报董事会批准后实施。</w:t>
      </w:r>
    </w:p>
    <w:p>
      <w:pPr>
        <w:numPr>
          <w:ilvl w:val="0"/>
          <w:numId w:val="2"/>
        </w:numPr>
        <w:spacing w:line="520" w:lineRule="exact"/>
        <w:ind w:left="0" w:leftChars="0" w:firstLine="636" w:firstLineChars="19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管理岗位等级共设8个等级，即三至十级。</w:t>
      </w:r>
    </w:p>
    <w:p>
      <w:pPr>
        <w:numPr>
          <w:ilvl w:val="0"/>
          <w:numId w:val="0"/>
        </w:numPr>
        <w:spacing w:line="520" w:lineRule="exact"/>
        <w:jc w:val="righ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管理岗位等级表             （表二）</w:t>
      </w:r>
    </w:p>
    <w:tbl>
      <w:tblPr>
        <w:tblStyle w:val="10"/>
        <w:tblW w:w="8850" w:type="dxa"/>
        <w:jc w:val="center"/>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992"/>
        <w:gridCol w:w="992"/>
        <w:gridCol w:w="850"/>
        <w:gridCol w:w="1134"/>
        <w:gridCol w:w="850"/>
        <w:gridCol w:w="1134"/>
        <w:gridCol w:w="872"/>
        <w:gridCol w:w="116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0" w:type="dxa"/>
            <w:vMerge w:val="restart"/>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岗位</w:t>
            </w:r>
          </w:p>
        </w:tc>
        <w:tc>
          <w:tcPr>
            <w:tcW w:w="1984" w:type="dxa"/>
            <w:gridSpan w:val="2"/>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院级</w:t>
            </w:r>
          </w:p>
        </w:tc>
        <w:tc>
          <w:tcPr>
            <w:tcW w:w="1984" w:type="dxa"/>
            <w:gridSpan w:val="2"/>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处级</w:t>
            </w:r>
          </w:p>
        </w:tc>
        <w:tc>
          <w:tcPr>
            <w:tcW w:w="1984" w:type="dxa"/>
            <w:gridSpan w:val="2"/>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科级</w:t>
            </w:r>
          </w:p>
        </w:tc>
        <w:tc>
          <w:tcPr>
            <w:tcW w:w="872" w:type="dxa"/>
            <w:vMerge w:val="restart"/>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科员</w:t>
            </w:r>
          </w:p>
        </w:tc>
        <w:tc>
          <w:tcPr>
            <w:tcW w:w="1166" w:type="dxa"/>
            <w:gridSpan w:val="2"/>
            <w:vMerge w:val="restart"/>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办事员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860" w:type="dxa"/>
            <w:vMerge w:val="continue"/>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c>
          <w:tcPr>
            <w:tcW w:w="992"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正职</w:t>
            </w:r>
          </w:p>
        </w:tc>
        <w:tc>
          <w:tcPr>
            <w:tcW w:w="992"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副职</w:t>
            </w:r>
          </w:p>
        </w:tc>
        <w:tc>
          <w:tcPr>
            <w:tcW w:w="850"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处长</w:t>
            </w:r>
          </w:p>
        </w:tc>
        <w:tc>
          <w:tcPr>
            <w:tcW w:w="1134"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副处长</w:t>
            </w:r>
          </w:p>
        </w:tc>
        <w:tc>
          <w:tcPr>
            <w:tcW w:w="850"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科长</w:t>
            </w:r>
          </w:p>
        </w:tc>
        <w:tc>
          <w:tcPr>
            <w:tcW w:w="1134"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副科长</w:t>
            </w:r>
          </w:p>
        </w:tc>
        <w:tc>
          <w:tcPr>
            <w:tcW w:w="872" w:type="dxa"/>
            <w:vMerge w:val="continue"/>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c>
          <w:tcPr>
            <w:tcW w:w="1166" w:type="dxa"/>
            <w:gridSpan w:val="2"/>
            <w:vMerge w:val="continue"/>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0" w:hRule="atLeast"/>
          <w:jc w:val="center"/>
        </w:trPr>
        <w:tc>
          <w:tcPr>
            <w:tcW w:w="860"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等级</w:t>
            </w:r>
          </w:p>
        </w:tc>
        <w:tc>
          <w:tcPr>
            <w:tcW w:w="992"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3</w:t>
            </w:r>
          </w:p>
        </w:tc>
        <w:tc>
          <w:tcPr>
            <w:tcW w:w="992"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4</w:t>
            </w:r>
          </w:p>
        </w:tc>
        <w:tc>
          <w:tcPr>
            <w:tcW w:w="850"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5</w:t>
            </w:r>
          </w:p>
        </w:tc>
        <w:tc>
          <w:tcPr>
            <w:tcW w:w="1134"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6</w:t>
            </w:r>
          </w:p>
        </w:tc>
        <w:tc>
          <w:tcPr>
            <w:tcW w:w="850"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7</w:t>
            </w:r>
          </w:p>
        </w:tc>
        <w:tc>
          <w:tcPr>
            <w:tcW w:w="1134"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8</w:t>
            </w:r>
          </w:p>
        </w:tc>
        <w:tc>
          <w:tcPr>
            <w:tcW w:w="872"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9</w:t>
            </w:r>
          </w:p>
        </w:tc>
        <w:tc>
          <w:tcPr>
            <w:tcW w:w="1160" w:type="dxa"/>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10</w:t>
            </w:r>
          </w:p>
        </w:tc>
      </w:tr>
    </w:tbl>
    <w:p>
      <w:pPr>
        <w:numPr>
          <w:ilvl w:val="0"/>
          <w:numId w:val="2"/>
        </w:numPr>
        <w:spacing w:line="520" w:lineRule="exact"/>
        <w:ind w:left="0" w:leftChars="0" w:firstLine="636" w:firstLineChars="19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学校领导岗位和内设机构领导岗位根据内设机构的职能、工作责任大小综合确定领导职数，报董事会批准后实施。</w:t>
      </w:r>
    </w:p>
    <w:p>
      <w:pPr>
        <w:numPr>
          <w:ilvl w:val="0"/>
          <w:numId w:val="3"/>
        </w:numPr>
        <w:spacing w:line="52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专业技术岗位等级设置</w:t>
      </w:r>
    </w:p>
    <w:p>
      <w:pPr>
        <w:numPr>
          <w:ilvl w:val="0"/>
          <w:numId w:val="4"/>
        </w:numPr>
        <w:spacing w:line="52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学校专业技术岗位最高等级和结构比例，根据学校的功能、规格、规模以及发展要求综合确定，报董事会批准后实施。</w:t>
      </w:r>
    </w:p>
    <w:p>
      <w:pPr>
        <w:numPr>
          <w:ilvl w:val="0"/>
          <w:numId w:val="0"/>
        </w:numPr>
        <w:spacing w:line="520" w:lineRule="exact"/>
        <w:ind w:left="0" w:leftChars="0" w:firstLine="640"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2.专业技术岗位分为二至十三级12个等级（一级岗位属国家专设的特级岗位），其中高级岗位6个等级，中级岗位3个等级，初级岗位3个等级（十三级是员级岗位）。</w:t>
      </w:r>
    </w:p>
    <w:p>
      <w:pPr>
        <w:numPr>
          <w:ilvl w:val="0"/>
          <w:numId w:val="0"/>
        </w:numPr>
        <w:spacing w:line="520" w:lineRule="exact"/>
        <w:jc w:val="righ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专业技术岗位结构一览表         （表三）</w:t>
      </w:r>
    </w:p>
    <w:tbl>
      <w:tblPr>
        <w:tblStyle w:val="10"/>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453"/>
        <w:gridCol w:w="2"/>
        <w:gridCol w:w="1450"/>
        <w:gridCol w:w="1596"/>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769" w:type="dxa"/>
            <w:vMerge w:val="restart"/>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岗位</w:t>
            </w:r>
          </w:p>
        </w:tc>
        <w:tc>
          <w:tcPr>
            <w:tcW w:w="2905" w:type="dxa"/>
            <w:gridSpan w:val="3"/>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高级</w:t>
            </w:r>
          </w:p>
        </w:tc>
        <w:tc>
          <w:tcPr>
            <w:tcW w:w="1596" w:type="dxa"/>
            <w:vMerge w:val="restart"/>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中级</w:t>
            </w:r>
          </w:p>
        </w:tc>
        <w:tc>
          <w:tcPr>
            <w:tcW w:w="2574" w:type="dxa"/>
            <w:vMerge w:val="restart"/>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vMerge w:val="continue"/>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c>
          <w:tcPr>
            <w:tcW w:w="1453"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正高</w:t>
            </w:r>
          </w:p>
        </w:tc>
        <w:tc>
          <w:tcPr>
            <w:tcW w:w="1452" w:type="dxa"/>
            <w:gridSpan w:val="2"/>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副高</w:t>
            </w:r>
          </w:p>
        </w:tc>
        <w:tc>
          <w:tcPr>
            <w:tcW w:w="1596" w:type="dxa"/>
            <w:vMerge w:val="continue"/>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c>
          <w:tcPr>
            <w:tcW w:w="2574" w:type="dxa"/>
            <w:vMerge w:val="continue"/>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等级</w:t>
            </w:r>
          </w:p>
        </w:tc>
        <w:tc>
          <w:tcPr>
            <w:tcW w:w="1455" w:type="dxa"/>
            <w:gridSpan w:val="2"/>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2-4</w:t>
            </w:r>
          </w:p>
        </w:tc>
        <w:tc>
          <w:tcPr>
            <w:tcW w:w="1450"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5-7</w:t>
            </w:r>
          </w:p>
        </w:tc>
        <w:tc>
          <w:tcPr>
            <w:tcW w:w="1596"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8-10</w:t>
            </w:r>
          </w:p>
        </w:tc>
        <w:tc>
          <w:tcPr>
            <w:tcW w:w="2574"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tcMar>
              <w:top w:w="28" w:type="dxa"/>
              <w:left w:w="108" w:type="dxa"/>
              <w:bottom w:w="2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岗位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结构比例</w:t>
            </w:r>
          </w:p>
        </w:tc>
        <w:tc>
          <w:tcPr>
            <w:tcW w:w="1455" w:type="dxa"/>
            <w:gridSpan w:val="2"/>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≥5%</w:t>
            </w:r>
          </w:p>
        </w:tc>
        <w:tc>
          <w:tcPr>
            <w:tcW w:w="1450"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≥30%</w:t>
            </w:r>
          </w:p>
        </w:tc>
        <w:tc>
          <w:tcPr>
            <w:tcW w:w="1596"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≥45%</w:t>
            </w:r>
          </w:p>
        </w:tc>
        <w:tc>
          <w:tcPr>
            <w:tcW w:w="2574"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69" w:type="dxa"/>
            <w:tcMar>
              <w:top w:w="28" w:type="dxa"/>
              <w:left w:w="108" w:type="dxa"/>
              <w:bottom w:w="2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岗位之间结构比例</w:t>
            </w:r>
          </w:p>
        </w:tc>
        <w:tc>
          <w:tcPr>
            <w:tcW w:w="1455" w:type="dxa"/>
            <w:gridSpan w:val="2"/>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1:3:6</w:t>
            </w:r>
          </w:p>
        </w:tc>
        <w:tc>
          <w:tcPr>
            <w:tcW w:w="1450"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2:4:4</w:t>
            </w:r>
          </w:p>
        </w:tc>
        <w:tc>
          <w:tcPr>
            <w:tcW w:w="1596"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3:4:3</w:t>
            </w:r>
          </w:p>
        </w:tc>
        <w:tc>
          <w:tcPr>
            <w:tcW w:w="2574" w:type="dxa"/>
            <w:tcMar>
              <w:top w:w="28" w:type="dxa"/>
              <w:left w:w="108" w:type="dxa"/>
              <w:bottom w:w="2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5:5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（11至12之间）</w:t>
            </w:r>
          </w:p>
        </w:tc>
      </w:tr>
    </w:tbl>
    <w:p>
      <w:pPr>
        <w:numPr>
          <w:ilvl w:val="0"/>
          <w:numId w:val="4"/>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教师岗位的总量：按照学院专业建设和办学基本要求确定教师岗位总量。</w:t>
      </w:r>
    </w:p>
    <w:p>
      <w:pPr>
        <w:numPr>
          <w:ilvl w:val="0"/>
          <w:numId w:val="5"/>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工勤技能岗位等级设置</w:t>
      </w:r>
    </w:p>
    <w:p>
      <w:pPr>
        <w:numPr>
          <w:ilvl w:val="0"/>
          <w:numId w:val="6"/>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工勤技能岗位的最高等级和结构比例按照岗位技能水平和工作需要确定。</w:t>
      </w:r>
    </w:p>
    <w:p>
      <w:pPr>
        <w:numPr>
          <w:ilvl w:val="0"/>
          <w:numId w:val="6"/>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工勤技能岗位包括技术工岗位和普通工岗位，其中技术工岗位分为5个等级（一至五级），即高级技师、技师、高级工、中级工、初级工，普通工岗位不分等级。</w:t>
      </w:r>
    </w:p>
    <w:p>
      <w:pPr>
        <w:numPr>
          <w:ilvl w:val="0"/>
          <w:numId w:val="0"/>
        </w:numPr>
        <w:spacing w:line="520" w:lineRule="exact"/>
        <w:jc w:val="righ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技术岗位结构一览表          （表四）</w:t>
      </w:r>
    </w:p>
    <w:tbl>
      <w:tblPr>
        <w:tblStyle w:val="10"/>
        <w:tblW w:w="8844" w:type="dxa"/>
        <w:jc w:val="center"/>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434"/>
        <w:gridCol w:w="1149"/>
        <w:gridCol w:w="1149"/>
        <w:gridCol w:w="1149"/>
        <w:gridCol w:w="115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608" w:type="dxa"/>
            <w:vMerge w:val="restart"/>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岗位</w:t>
            </w:r>
          </w:p>
        </w:tc>
        <w:tc>
          <w:tcPr>
            <w:tcW w:w="6031" w:type="dxa"/>
            <w:gridSpan w:val="5"/>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技术工</w:t>
            </w:r>
          </w:p>
        </w:tc>
        <w:tc>
          <w:tcPr>
            <w:tcW w:w="1205"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普通工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608" w:type="dxa"/>
            <w:vMerge w:val="continue"/>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c>
          <w:tcPr>
            <w:tcW w:w="1434"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高级技师</w:t>
            </w:r>
          </w:p>
        </w:tc>
        <w:tc>
          <w:tcPr>
            <w:tcW w:w="114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技师</w:t>
            </w:r>
          </w:p>
        </w:tc>
        <w:tc>
          <w:tcPr>
            <w:tcW w:w="114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高级工</w:t>
            </w:r>
          </w:p>
        </w:tc>
        <w:tc>
          <w:tcPr>
            <w:tcW w:w="114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中级工</w:t>
            </w:r>
          </w:p>
        </w:tc>
        <w:tc>
          <w:tcPr>
            <w:tcW w:w="1150"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初级工</w:t>
            </w:r>
          </w:p>
        </w:tc>
        <w:tc>
          <w:tcPr>
            <w:tcW w:w="1205" w:type="dxa"/>
            <w:vMerge w:val="restart"/>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8"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等级</w:t>
            </w:r>
          </w:p>
        </w:tc>
        <w:tc>
          <w:tcPr>
            <w:tcW w:w="1434"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一</w:t>
            </w:r>
          </w:p>
        </w:tc>
        <w:tc>
          <w:tcPr>
            <w:tcW w:w="114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二</w:t>
            </w:r>
          </w:p>
        </w:tc>
        <w:tc>
          <w:tcPr>
            <w:tcW w:w="114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三</w:t>
            </w:r>
          </w:p>
        </w:tc>
        <w:tc>
          <w:tcPr>
            <w:tcW w:w="114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四</w:t>
            </w:r>
          </w:p>
        </w:tc>
        <w:tc>
          <w:tcPr>
            <w:tcW w:w="1150"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五</w:t>
            </w:r>
          </w:p>
        </w:tc>
        <w:tc>
          <w:tcPr>
            <w:tcW w:w="1205" w:type="dxa"/>
            <w:vMerge w:val="continue"/>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8" w:type="dxa"/>
            <w:tcMar>
              <w:top w:w="28" w:type="dxa"/>
              <w:left w:w="108" w:type="dxa"/>
              <w:bottom w:w="2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岗位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结构比例</w:t>
            </w:r>
          </w:p>
        </w:tc>
        <w:tc>
          <w:tcPr>
            <w:tcW w:w="2583" w:type="dxa"/>
            <w:gridSpan w:val="2"/>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5%</w:t>
            </w:r>
          </w:p>
        </w:tc>
        <w:tc>
          <w:tcPr>
            <w:tcW w:w="114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40%</w:t>
            </w:r>
          </w:p>
        </w:tc>
        <w:tc>
          <w:tcPr>
            <w:tcW w:w="1149"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25%</w:t>
            </w:r>
          </w:p>
        </w:tc>
        <w:tc>
          <w:tcPr>
            <w:tcW w:w="1150" w:type="dxa"/>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30%</w:t>
            </w:r>
          </w:p>
        </w:tc>
        <w:tc>
          <w:tcPr>
            <w:tcW w:w="1205" w:type="dxa"/>
            <w:vMerge w:val="continue"/>
            <w:tcMar>
              <w:top w:w="28" w:type="dxa"/>
              <w:left w:w="108" w:type="dxa"/>
              <w:bottom w:w="28" w:type="dxa"/>
              <w:right w:w="108" w:type="dxa"/>
            </w:tcMar>
            <w:vAlign w:val="center"/>
          </w:tcPr>
          <w:p>
            <w:pPr>
              <w:numPr>
                <w:ilvl w:val="0"/>
                <w:numId w:val="0"/>
              </w:numPr>
              <w:spacing w:line="520" w:lineRule="exact"/>
              <w:jc w:val="center"/>
              <w:rPr>
                <w:rFonts w:hint="eastAsia" w:ascii="仿宋_GB2312" w:hAnsi="仿宋_GB2312" w:eastAsia="仿宋_GB2312" w:cs="仿宋_GB2312"/>
                <w:b w:val="0"/>
                <w:bCs/>
                <w:sz w:val="30"/>
                <w:szCs w:val="30"/>
                <w:vertAlign w:val="baseline"/>
                <w:lang w:val="en-US" w:eastAsia="zh-CN"/>
              </w:rPr>
            </w:pPr>
          </w:p>
        </w:tc>
      </w:tr>
    </w:tbl>
    <w:p>
      <w:pPr>
        <w:numPr>
          <w:ilvl w:val="0"/>
          <w:numId w:val="7"/>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特设岗位设置</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特设岗位是根据学校发展，以及专业建设急需聘用高层次人才等特殊需要，经批准设置的非常岗位。特设岗位的等级根据规定的程序确定，报董事会批准后实施。</w:t>
      </w:r>
    </w:p>
    <w:p>
      <w:pPr>
        <w:numPr>
          <w:ilvl w:val="0"/>
          <w:numId w:val="0"/>
        </w:numPr>
        <w:spacing w:line="520" w:lineRule="exact"/>
        <w:ind w:left="0" w:leftChars="0" w:firstLine="643" w:firstLineChars="200"/>
        <w:jc w:val="both"/>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七、专业技术岗位名称及等级</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教师岗位名称正高级为教授二级岗位、教授三级岗位、教授四级岗位，分别对应二至四级专业技术岗位；副高级教师岗位名称为副教授一级岗位、副教授二级岗位、副教授三级岗位，分别对应五至七级专业技术岗位；中级教师岗位名称为讲师一级岗位、讲师二级岗位、讲师三级岗位，分别对应八至十级专业技术岗位；初级教师岗位名称为助教一级岗位、助教二级岗位，分别对应十一级、十二级专业技术岗位。（详见表五）</w:t>
      </w:r>
    </w:p>
    <w:p>
      <w:pPr>
        <w:numPr>
          <w:ilvl w:val="0"/>
          <w:numId w:val="0"/>
        </w:numPr>
        <w:spacing w:line="520" w:lineRule="exact"/>
        <w:jc w:val="righ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教师岗位名称等级一览表         （表五）</w:t>
      </w:r>
    </w:p>
    <w:tbl>
      <w:tblPr>
        <w:tblStyle w:val="10"/>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528"/>
        <w:gridCol w:w="644"/>
        <w:gridCol w:w="644"/>
        <w:gridCol w:w="644"/>
        <w:gridCol w:w="644"/>
        <w:gridCol w:w="644"/>
        <w:gridCol w:w="644"/>
        <w:gridCol w:w="644"/>
        <w:gridCol w:w="644"/>
        <w:gridCol w:w="644"/>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69" w:type="dxa"/>
            <w:vMerge w:val="restart"/>
            <w:tcMar>
              <w:top w:w="28" w:type="dxa"/>
              <w:left w:w="28" w:type="dxa"/>
              <w:bottom w:w="28" w:type="dxa"/>
              <w:right w:w="28" w:type="dxa"/>
            </w:tcMar>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right="0" w:rightChars="0" w:firstLine="0" w:firstLineChars="0"/>
              <w:jc w:val="right"/>
              <w:textAlignment w:val="auto"/>
              <w:outlineLvl w:val="9"/>
              <w:rPr>
                <w:rFonts w:hint="eastAsia" w:ascii="仿宋_GB2312" w:hAnsi="仿宋_GB2312" w:eastAsia="仿宋_GB2312" w:cs="仿宋_GB2312"/>
                <w:b w:val="0"/>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right="0" w:rightChars="0" w:firstLine="0" w:firstLineChars="0"/>
              <w:jc w:val="right"/>
              <w:textAlignment w:val="auto"/>
              <w:outlineLvl w:val="9"/>
              <w:rPr>
                <w:rFonts w:hint="eastAsia" w:ascii="仿宋_GB2312" w:hAnsi="仿宋_GB2312" w:eastAsia="仿宋_GB2312" w:cs="仿宋_GB2312"/>
                <w:b w:val="0"/>
                <w:bCs/>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right="0" w:rightChars="0" w:firstLine="0" w:firstLineChars="0"/>
              <w:jc w:val="right"/>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岗位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right="0" w:rightChars="0" w:firstLine="0" w:firstLineChars="0"/>
              <w:jc w:val="right"/>
              <w:textAlignment w:val="auto"/>
              <w:outlineLvl w:val="9"/>
              <mc:AlternateContent>
                <mc:Choice Requires="wpsCustomData">
                  <wpsCustomData:diagonalParaType/>
                </mc:Choice>
              </mc:AlternateContent>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名称等级</w:t>
            </w:r>
          </w:p>
          <w:p>
            <w:pPr>
              <w:keepNext w:val="0"/>
              <w:keepLines w:val="0"/>
              <w:pageBreakBefore w:val="0"/>
              <w:widowControl w:val="0"/>
              <w:numPr>
                <w:ilvl w:val="0"/>
                <w:numId w:val="0"/>
              </w:numPr>
              <w:kinsoku/>
              <w:wordWrap/>
              <w:overflowPunct/>
              <w:topLinePunct w:val="0"/>
              <w:autoSpaceDE/>
              <w:autoSpaceDN/>
              <w:bidi w:val="0"/>
              <w:adjustRightInd/>
              <w:spacing w:line="600" w:lineRule="auto"/>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级别</w:t>
            </w:r>
          </w:p>
        </w:tc>
        <w:tc>
          <w:tcPr>
            <w:tcW w:w="3748" w:type="dxa"/>
            <w:gridSpan w:val="6"/>
            <w:tcMar>
              <w:top w:w="28" w:type="dxa"/>
              <w:left w:w="28" w:type="dxa"/>
              <w:bottom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高级</w:t>
            </w:r>
          </w:p>
        </w:tc>
        <w:tc>
          <w:tcPr>
            <w:tcW w:w="1932" w:type="dxa"/>
            <w:gridSpan w:val="3"/>
            <w:vMerge w:val="restart"/>
            <w:tcMar>
              <w:top w:w="28" w:type="dxa"/>
              <w:left w:w="28" w:type="dxa"/>
              <w:bottom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中级</w:t>
            </w:r>
          </w:p>
        </w:tc>
        <w:tc>
          <w:tcPr>
            <w:tcW w:w="1295" w:type="dxa"/>
            <w:gridSpan w:val="2"/>
            <w:vMerge w:val="restart"/>
            <w:tcMar>
              <w:top w:w="28" w:type="dxa"/>
              <w:left w:w="28" w:type="dxa"/>
              <w:bottom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869" w:type="dxa"/>
            <w:vMerge w:val="continue"/>
            <w:tcMar>
              <w:top w:w="28" w:type="dxa"/>
              <w:left w:w="28" w:type="dxa"/>
              <w:bottom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p>
        </w:tc>
        <w:tc>
          <w:tcPr>
            <w:tcW w:w="1816" w:type="dxa"/>
            <w:gridSpan w:val="3"/>
            <w:tcMar>
              <w:top w:w="28" w:type="dxa"/>
              <w:left w:w="28" w:type="dxa"/>
              <w:bottom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正高级</w:t>
            </w:r>
          </w:p>
        </w:tc>
        <w:tc>
          <w:tcPr>
            <w:tcW w:w="1932" w:type="dxa"/>
            <w:gridSpan w:val="3"/>
            <w:tcMar>
              <w:top w:w="28" w:type="dxa"/>
              <w:left w:w="28" w:type="dxa"/>
              <w:bottom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副高级</w:t>
            </w:r>
          </w:p>
        </w:tc>
        <w:tc>
          <w:tcPr>
            <w:tcW w:w="1932" w:type="dxa"/>
            <w:gridSpan w:val="3"/>
            <w:vMerge w:val="continue"/>
            <w:tcMar>
              <w:top w:w="28" w:type="dxa"/>
              <w:left w:w="28" w:type="dxa"/>
              <w:bottom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p>
        </w:tc>
        <w:tc>
          <w:tcPr>
            <w:tcW w:w="1295" w:type="dxa"/>
            <w:gridSpan w:val="2"/>
            <w:vMerge w:val="continue"/>
            <w:tcMar>
              <w:top w:w="28" w:type="dxa"/>
              <w:left w:w="28" w:type="dxa"/>
              <w:bottom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69"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岗位名称</w:t>
            </w:r>
          </w:p>
        </w:tc>
        <w:tc>
          <w:tcPr>
            <w:tcW w:w="1816" w:type="dxa"/>
            <w:gridSpan w:val="3"/>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教授</w:t>
            </w:r>
          </w:p>
        </w:tc>
        <w:tc>
          <w:tcPr>
            <w:tcW w:w="1932" w:type="dxa"/>
            <w:gridSpan w:val="3"/>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副教授</w:t>
            </w:r>
          </w:p>
        </w:tc>
        <w:tc>
          <w:tcPr>
            <w:tcW w:w="1932" w:type="dxa"/>
            <w:gridSpan w:val="3"/>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讲师</w:t>
            </w:r>
          </w:p>
        </w:tc>
        <w:tc>
          <w:tcPr>
            <w:tcW w:w="1295" w:type="dxa"/>
            <w:gridSpan w:val="2"/>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69"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岗位等级</w:t>
            </w:r>
          </w:p>
        </w:tc>
        <w:tc>
          <w:tcPr>
            <w:tcW w:w="528"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w:t>
            </w:r>
          </w:p>
        </w:tc>
        <w:tc>
          <w:tcPr>
            <w:tcW w:w="651"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69"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对应国家</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岗位等级</w:t>
            </w:r>
          </w:p>
        </w:tc>
        <w:tc>
          <w:tcPr>
            <w:tcW w:w="528"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4</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5</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6</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7</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8</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9</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10</w:t>
            </w:r>
          </w:p>
        </w:tc>
        <w:tc>
          <w:tcPr>
            <w:tcW w:w="644"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11</w:t>
            </w:r>
          </w:p>
        </w:tc>
        <w:tc>
          <w:tcPr>
            <w:tcW w:w="651"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69" w:type="dxa"/>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岗位之间</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结构比例</w:t>
            </w:r>
          </w:p>
        </w:tc>
        <w:tc>
          <w:tcPr>
            <w:tcW w:w="1816" w:type="dxa"/>
            <w:gridSpan w:val="3"/>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1:3:6</w:t>
            </w:r>
          </w:p>
        </w:tc>
        <w:tc>
          <w:tcPr>
            <w:tcW w:w="1932" w:type="dxa"/>
            <w:gridSpan w:val="3"/>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2:4:4</w:t>
            </w:r>
          </w:p>
        </w:tc>
        <w:tc>
          <w:tcPr>
            <w:tcW w:w="1932" w:type="dxa"/>
            <w:gridSpan w:val="3"/>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3:4:3</w:t>
            </w:r>
          </w:p>
        </w:tc>
        <w:tc>
          <w:tcPr>
            <w:tcW w:w="1295" w:type="dxa"/>
            <w:gridSpan w:val="2"/>
            <w:tcMar>
              <w:top w:w="57" w:type="dxa"/>
              <w:left w:w="28" w:type="dxa"/>
              <w:bottom w:w="57"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5:5</w:t>
            </w:r>
          </w:p>
        </w:tc>
      </w:tr>
    </w:tbl>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（二）其他专业技术岗位名称</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1.科学研究岗位名称：正高级为研究员，副高级为副研究员，中级为助理研究员，初级为</w:t>
      </w:r>
      <w:bookmarkStart w:id="0" w:name="_GoBack"/>
      <w:bookmarkEnd w:id="0"/>
      <w:r>
        <w:rPr>
          <w:rFonts w:hint="eastAsia" w:ascii="仿宋_GB2312" w:hAnsi="仿宋_GB2312" w:eastAsia="仿宋_GB2312" w:cs="仿宋_GB2312"/>
          <w:b w:val="0"/>
          <w:bCs/>
          <w:sz w:val="32"/>
          <w:szCs w:val="32"/>
          <w:lang w:val="en-US" w:eastAsia="zh-CN"/>
        </w:rPr>
        <w:t>研究实习员。</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2.实验技术岗位名称：高级为高级实验师，中级为实验师，初级为助理实验师、实验员。</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3.图书资料技术岗位名称：正高级为研究馆员，副高级为副研究馆员，中级为馆员，初级为助理馆员、管理员。</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其他专业技术岗位分为10个等级。高级岗位分为4个等级，即四至七级（其中高级岗位四级，副高级岗位包括五至七级）；中级岗位分为3个等级，即八至十级；初级岗位分为3个等级，即十一至十三级（十三级是员级）。首次聘用时，五、六、七级岗位之间的结构比例为2:4:4；八、九、十级岗位之间的结构比例为2:4:4；十一、十二级岗位之间的结构比例为4:6。</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（四）专职辅导员纳入教师岗位管理，根据其他条件确定相应的职员职级。</w:t>
      </w:r>
    </w:p>
    <w:p>
      <w:pPr>
        <w:numPr>
          <w:ilvl w:val="0"/>
          <w:numId w:val="8"/>
        </w:numPr>
        <w:spacing w:line="520" w:lineRule="exact"/>
        <w:ind w:left="0" w:leftChars="0" w:firstLine="643" w:firstLineChars="200"/>
        <w:jc w:val="both"/>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岗位任职条件</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各类岗位聘用人员必须同时满足任职基本条件、岗位任职条件。</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（一）任职基本条件</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1.遵守宪法和法律；</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2.具有良好的品行和职业道德；</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3.岗位所需的专业能力或技能条件；</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4.适应岗位要求的身体条件。</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（二）专业技术岗位任职基本条件</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1.受聘二、三、四级岗位应具有正高级专业技术资格；</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2.受聘五、六、七级岗位应具有副高级专业技术资格；</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3.受聘八、九、十级岗位应具有中级专业技术资格；</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4.受聘十一、十二级岗位应具有初级专业技术资格；</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5.受聘教师岗位的人员应具有良好的学风、学术道德和合作精神，符合国家关于相应教师职务的基本任职条件，具备与履行岗位职责相适应的学术水平和创新能力；</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6.申报二级专业技术岗位的还须具备国家、省有关规定要求。</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（三）管理岗位任职条件</w:t>
      </w:r>
    </w:p>
    <w:p>
      <w:pPr>
        <w:numPr>
          <w:ilvl w:val="0"/>
          <w:numId w:val="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管理岗位任职条件以德才兼备和业绩贡献能力为导向。具有适应岗位任职的政策理论、组织协调管理、服务等能力水平和学历资历条件。一般应具有大学专科以上文化程度，其中六级以上管理岗位一般应具有大学本科以上文化程度。</w:t>
      </w:r>
    </w:p>
    <w:p>
      <w:pPr>
        <w:numPr>
          <w:ilvl w:val="0"/>
          <w:numId w:val="9"/>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工勤岗位任职条件</w:t>
      </w:r>
    </w:p>
    <w:p>
      <w:pPr>
        <w:numPr>
          <w:ilvl w:val="0"/>
          <w:numId w:val="1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受聘一、二级岗位，应具有高级技师、技师技术等级资格；</w:t>
      </w:r>
    </w:p>
    <w:p>
      <w:pPr>
        <w:numPr>
          <w:ilvl w:val="0"/>
          <w:numId w:val="1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受聘三、四级岗位，应具有高级工、中级工技术等级资格；</w:t>
      </w:r>
    </w:p>
    <w:p>
      <w:pPr>
        <w:numPr>
          <w:ilvl w:val="0"/>
          <w:numId w:val="10"/>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受聘五级岗位，应具有初级工技术等级资格。</w:t>
      </w:r>
    </w:p>
    <w:p>
      <w:pPr>
        <w:numPr>
          <w:ilvl w:val="0"/>
          <w:numId w:val="11"/>
        </w:numPr>
        <w:spacing w:line="520" w:lineRule="exact"/>
        <w:ind w:left="0" w:leftChars="0" w:firstLine="643" w:firstLineChars="200"/>
        <w:jc w:val="both"/>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岗位设置程序</w:t>
      </w:r>
    </w:p>
    <w:p>
      <w:pPr>
        <w:numPr>
          <w:ilvl w:val="0"/>
          <w:numId w:val="12"/>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制定岗位设置方案；</w:t>
      </w:r>
    </w:p>
    <w:p>
      <w:pPr>
        <w:numPr>
          <w:ilvl w:val="0"/>
          <w:numId w:val="12"/>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报董事会核准；</w:t>
      </w:r>
    </w:p>
    <w:p>
      <w:pPr>
        <w:numPr>
          <w:ilvl w:val="0"/>
          <w:numId w:val="12"/>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在核准的岗位总量、结构比例和最高等级限额内，制定实施方案，编制岗位说明书；</w:t>
      </w:r>
    </w:p>
    <w:p>
      <w:pPr>
        <w:numPr>
          <w:ilvl w:val="0"/>
          <w:numId w:val="12"/>
        </w:numPr>
        <w:spacing w:line="52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十、岗位聘用与管理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（一）岗位聘用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按董事会核定的岗位总量和结构比例内，根据人才培养、科学研究、社会服务等教育教学事业发展的需要，兼顾各类人员结构现状，合理制定《岗位设置实施方案》，按照公开招聘、平等竞争、择优聘用的原则开展岗位聘用工作，确保岗位聘用工作公开、公平，公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2.管理岗位四级以上（院长、副院长）职员，由董事会直接聘用。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3.专业技术岗位、管理岗位和工勤技能岗位由各部门按照学院统一要求进行初评，并将拟聘用人选报学院，由学院统一组织评聘。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4.确因工作需要同时在管理岗位和专业技术岗位任职的“双肩挑人员”外，其他人员不得同时在两类岗位上任职。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5.在管理岗位具有职称但不从事专业技术工作人员，如在工资套改时执行专业技术岗位工资系列的，在首次聘用时执行其相应专业技术岗位工资的最低等级，按照管理岗位签订聘用合同。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6.专职辅导员纳入教师岗位管理，并可根据其条件，参与相应的职员职级评定。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7.新聘用人员在试用期满后，管理人员按照管理岗位条件要求确定相应的岗位等级。专业技术人员按照岗位条件要求确定岗位等级，工勤技能人员通过初级工技术等级考核后，可确定为工勤技能技术工五级岗位。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8.访学研修人员（含出国）、离岗创业人员在学校批准的期限内保留其岗位。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9.凡聘期内有职务职称变化的，应对聘用合同的相关内容作出相应变更，重新签订聘用合同。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（二）聘用程序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1.公布岗位：公布核定的或空缺的岗位及岗位职责、聘用条件等。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2.申请应聘：应聘者须填写《广东南方职业学院岗位聘用申请表》，向单位（部门）工作小组提出书面应聘申请，并按要求提交相关证明材料。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3.单位（部门）推荐：工作小组依据各类岗位聘任条件，对应聘人员的聘用资格和基本条件进行初审，提出推荐意见，上报学院领导小组。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4.资格审查：领导小组办公室依据岗位聘任资格和基本条件进行审核，并将审核结果报学校岗位设置与聘用工作领导小组。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5.资格公示：审核结果进行公示3天。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6.确定聘用人选：学校岗位设置与聘用管理工作领导小组评审，讨论通过聘用人选。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7.公示：聘用人选确定后进行公示5天，在公示期内有异议者，按程序进行复议。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8.聘任上岗：各类岗位聘任人员，公示无异议者，与学校签订岗位聘用合同。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（三）合同管理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1.岗位聘用合同内容包括岗位职责要求、工作目标、工作条件、工资福利、岗位纪律、合同期限、合同变更以及违反合同的处理内容。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2.岗位聘任期一般为3年。新入职人员岗位聘任期一般为1年。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3.聘用合同期限内调整岗位的，应对聘用合同的相关内容做出相应变更。聘用合同的续订和解除等按照法律法规和学院相关规定执行。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4.有下列情况之一的，聘用合同自行终止：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①聘用合同期满，或者出现聘用合同所约定终止事项；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②受聘人退休、死亡的；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③用人单位撤销或解散的；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④受聘人在聘期内被依法追究刑事责任的；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⑤出现其他应终止聘用合同事项的。</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有下列情形之一的，可以解除聘用合同：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①受聘人在聘期内不胜任岗位要求的；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②受聘人造成严重工作责任事故，给单位造成严重损失的；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③受聘人连续旷工时间超过3天，或一年内累计旷工时间超过5天的；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④出现其它应解除聘用合同事项的。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十一、考核</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聘用考核分为聘期考核和年度考核。</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聘期考核重点考核岗位职责和工作任务完成情况。在聘任期满前一个月内由学院统一组织考核。</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年度考核重点考核年度具体的教学、科研、管理工作完成情况。由学院统一布置，用人单位考核，报学院审核确定。</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考核结果分为优秀、称职、基本称职、不称职，并作为岗位调整、续聘、奖惩的依据。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十二、人事争议与处理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受聘人与学校因聘用、考核、转岗等问题发生人事争议时，当事人可申请调解、仲裁或依法提起诉讼。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十三、附则</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本办法自发文之日起执行；</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本办法未尽事宜按上级文件和学校有关规定执行；</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spacing w:val="3"/>
          <w:sz w:val="32"/>
          <w:szCs w:val="32"/>
          <w:lang w:val="en-US" w:eastAsia="zh-CN"/>
        </w:rPr>
      </w:pPr>
      <w:r>
        <w:rPr>
          <w:rFonts w:hint="eastAsia" w:ascii="仿宋_GB2312" w:hAnsi="仿宋_GB2312" w:eastAsia="仿宋_GB2312" w:cs="仿宋_GB2312"/>
          <w:b w:val="0"/>
          <w:bCs/>
          <w:sz w:val="32"/>
          <w:szCs w:val="32"/>
          <w:lang w:val="en-US" w:eastAsia="zh-CN"/>
        </w:rPr>
        <w:t>本办法由人事处负责解释。</w:t>
      </w:r>
    </w:p>
    <w:sectPr>
      <w:footerReference r:id="rId3" w:type="default"/>
      <w:pgSz w:w="11906" w:h="16838"/>
      <w:pgMar w:top="1304" w:right="1474"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康简综艺">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方正小标宋简体">
    <w:panose1 w:val="03000509000000000000"/>
    <w:charset w:val="86"/>
    <w:family w:val="script"/>
    <w:pitch w:val="default"/>
    <w:sig w:usb0="00000001" w:usb1="080E0000" w:usb2="0000000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A00002BF" w:usb1="68C7FCFB" w:usb2="00000010" w:usb3="00000000" w:csb0="4002009F" w:csb1="DFD70000"/>
  </w:font>
  <w:font w:name="Lucida Grande">
    <w:altName w:val="Courier New"/>
    <w:panose1 w:val="00000000000000000000"/>
    <w:charset w:val="00"/>
    <w:family w:val="auto"/>
    <w:pitch w:val="default"/>
    <w:sig w:usb0="00000000" w:usb1="00000000" w:usb2="00000000" w:usb3="00000000" w:csb0="00000000" w:csb1="00000000"/>
  </w:font>
  <w:font w:name="EU-BZ">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报隶 常规体">
    <w:panose1 w:val="020105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82073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7A93"/>
    <w:multiLevelType w:val="singleLevel"/>
    <w:tmpl w:val="59BF7A93"/>
    <w:lvl w:ilvl="0" w:tentative="0">
      <w:start w:val="3"/>
      <w:numFmt w:val="chineseCounting"/>
      <w:suff w:val="nothing"/>
      <w:lvlText w:val="（%1）"/>
      <w:lvlJc w:val="left"/>
    </w:lvl>
  </w:abstractNum>
  <w:abstractNum w:abstractNumId="1">
    <w:nsid w:val="59BF7EA4"/>
    <w:multiLevelType w:val="singleLevel"/>
    <w:tmpl w:val="59BF7EA4"/>
    <w:lvl w:ilvl="0" w:tentative="0">
      <w:start w:val="1"/>
      <w:numFmt w:val="decimal"/>
      <w:suff w:val="nothing"/>
      <w:lvlText w:val="%1."/>
      <w:lvlJc w:val="left"/>
    </w:lvl>
  </w:abstractNum>
  <w:abstractNum w:abstractNumId="2">
    <w:nsid w:val="59BF8483"/>
    <w:multiLevelType w:val="singleLevel"/>
    <w:tmpl w:val="59BF8483"/>
    <w:lvl w:ilvl="0" w:tentative="0">
      <w:start w:val="2"/>
      <w:numFmt w:val="chineseCounting"/>
      <w:suff w:val="nothing"/>
      <w:lvlText w:val="（%1）"/>
      <w:lvlJc w:val="left"/>
    </w:lvl>
  </w:abstractNum>
  <w:abstractNum w:abstractNumId="3">
    <w:nsid w:val="59BF8509"/>
    <w:multiLevelType w:val="singleLevel"/>
    <w:tmpl w:val="59BF8509"/>
    <w:lvl w:ilvl="0" w:tentative="0">
      <w:start w:val="1"/>
      <w:numFmt w:val="decimal"/>
      <w:suff w:val="nothing"/>
      <w:lvlText w:val="%1."/>
      <w:lvlJc w:val="left"/>
    </w:lvl>
  </w:abstractNum>
  <w:abstractNum w:abstractNumId="4">
    <w:nsid w:val="59BF900E"/>
    <w:multiLevelType w:val="singleLevel"/>
    <w:tmpl w:val="59BF900E"/>
    <w:lvl w:ilvl="0" w:tentative="0">
      <w:start w:val="3"/>
      <w:numFmt w:val="chineseCounting"/>
      <w:suff w:val="nothing"/>
      <w:lvlText w:val="（%1）"/>
      <w:lvlJc w:val="left"/>
    </w:lvl>
  </w:abstractNum>
  <w:abstractNum w:abstractNumId="5">
    <w:nsid w:val="59BF99A8"/>
    <w:multiLevelType w:val="singleLevel"/>
    <w:tmpl w:val="59BF99A8"/>
    <w:lvl w:ilvl="0" w:tentative="0">
      <w:start w:val="1"/>
      <w:numFmt w:val="decimal"/>
      <w:suff w:val="nothing"/>
      <w:lvlText w:val="%1."/>
      <w:lvlJc w:val="left"/>
    </w:lvl>
  </w:abstractNum>
  <w:abstractNum w:abstractNumId="6">
    <w:nsid w:val="59C07345"/>
    <w:multiLevelType w:val="singleLevel"/>
    <w:tmpl w:val="59C07345"/>
    <w:lvl w:ilvl="0" w:tentative="0">
      <w:start w:val="4"/>
      <w:numFmt w:val="chineseCounting"/>
      <w:suff w:val="nothing"/>
      <w:lvlText w:val="（%1）"/>
      <w:lvlJc w:val="left"/>
    </w:lvl>
  </w:abstractNum>
  <w:abstractNum w:abstractNumId="7">
    <w:nsid w:val="59C316FC"/>
    <w:multiLevelType w:val="singleLevel"/>
    <w:tmpl w:val="59C316FC"/>
    <w:lvl w:ilvl="0" w:tentative="0">
      <w:start w:val="8"/>
      <w:numFmt w:val="chineseCounting"/>
      <w:suff w:val="nothing"/>
      <w:lvlText w:val="%1、"/>
      <w:lvlJc w:val="left"/>
    </w:lvl>
  </w:abstractNum>
  <w:abstractNum w:abstractNumId="8">
    <w:nsid w:val="59C31BBB"/>
    <w:multiLevelType w:val="singleLevel"/>
    <w:tmpl w:val="59C31BBB"/>
    <w:lvl w:ilvl="0" w:tentative="0">
      <w:start w:val="4"/>
      <w:numFmt w:val="chineseCounting"/>
      <w:suff w:val="nothing"/>
      <w:lvlText w:val="（%1）"/>
      <w:lvlJc w:val="left"/>
    </w:lvl>
  </w:abstractNum>
  <w:abstractNum w:abstractNumId="9">
    <w:nsid w:val="59C31BFC"/>
    <w:multiLevelType w:val="singleLevel"/>
    <w:tmpl w:val="59C31BFC"/>
    <w:lvl w:ilvl="0" w:tentative="0">
      <w:start w:val="1"/>
      <w:numFmt w:val="decimal"/>
      <w:suff w:val="nothing"/>
      <w:lvlText w:val="%1."/>
      <w:lvlJc w:val="left"/>
    </w:lvl>
  </w:abstractNum>
  <w:abstractNum w:abstractNumId="10">
    <w:nsid w:val="59C32C73"/>
    <w:multiLevelType w:val="singleLevel"/>
    <w:tmpl w:val="59C32C73"/>
    <w:lvl w:ilvl="0" w:tentative="0">
      <w:start w:val="5"/>
      <w:numFmt w:val="decimal"/>
      <w:suff w:val="nothing"/>
      <w:lvlText w:val="%1."/>
      <w:lvlJc w:val="left"/>
    </w:lvl>
  </w:abstractNum>
  <w:abstractNum w:abstractNumId="11">
    <w:nsid w:val="59C32E23"/>
    <w:multiLevelType w:val="singleLevel"/>
    <w:tmpl w:val="59C32E23"/>
    <w:lvl w:ilvl="0" w:tentative="0">
      <w:start w:val="1"/>
      <w:numFmt w:val="decimal"/>
      <w:suff w:val="nothing"/>
      <w:lvlText w:val="%1."/>
      <w:lvlJc w:val="left"/>
    </w:lvl>
  </w:abstractNum>
  <w:abstractNum w:abstractNumId="12">
    <w:nsid w:val="59C330F2"/>
    <w:multiLevelType w:val="singleLevel"/>
    <w:tmpl w:val="59C330F2"/>
    <w:lvl w:ilvl="0" w:tentative="0">
      <w:start w:val="1"/>
      <w:numFmt w:val="decimal"/>
      <w:suff w:val="nothing"/>
      <w:lvlText w:val="%1."/>
      <w:lvlJc w:val="left"/>
    </w:lvl>
  </w:abstractNum>
  <w:abstractNum w:abstractNumId="13">
    <w:nsid w:val="59C47C3F"/>
    <w:multiLevelType w:val="singleLevel"/>
    <w:tmpl w:val="59C47C3F"/>
    <w:lvl w:ilvl="0" w:tentative="0">
      <w:start w:val="9"/>
      <w:numFmt w:val="chineseCounting"/>
      <w:suff w:val="nothing"/>
      <w:lvlText w:val="%1、"/>
      <w:lvlJc w:val="left"/>
    </w:lvl>
  </w:abstractNum>
  <w:abstractNum w:abstractNumId="14">
    <w:nsid w:val="59C47C87"/>
    <w:multiLevelType w:val="singleLevel"/>
    <w:tmpl w:val="59C47C8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4"/>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B0"/>
    <w:rsid w:val="00000045"/>
    <w:rsid w:val="00045C2C"/>
    <w:rsid w:val="0006793E"/>
    <w:rsid w:val="00092A6E"/>
    <w:rsid w:val="0009466B"/>
    <w:rsid w:val="000C6D38"/>
    <w:rsid w:val="000E2850"/>
    <w:rsid w:val="0018047D"/>
    <w:rsid w:val="00215402"/>
    <w:rsid w:val="00285E43"/>
    <w:rsid w:val="002B00CD"/>
    <w:rsid w:val="00336608"/>
    <w:rsid w:val="00354D19"/>
    <w:rsid w:val="00360343"/>
    <w:rsid w:val="00382146"/>
    <w:rsid w:val="003B360A"/>
    <w:rsid w:val="003E1344"/>
    <w:rsid w:val="003E2ED8"/>
    <w:rsid w:val="004009A6"/>
    <w:rsid w:val="0041478E"/>
    <w:rsid w:val="00420ABA"/>
    <w:rsid w:val="00435A42"/>
    <w:rsid w:val="004647C5"/>
    <w:rsid w:val="004926D4"/>
    <w:rsid w:val="00523A3E"/>
    <w:rsid w:val="00532FB0"/>
    <w:rsid w:val="005A3F19"/>
    <w:rsid w:val="005B5750"/>
    <w:rsid w:val="005C0C61"/>
    <w:rsid w:val="005D6A81"/>
    <w:rsid w:val="00625E1B"/>
    <w:rsid w:val="00695660"/>
    <w:rsid w:val="006A47AB"/>
    <w:rsid w:val="00710D9D"/>
    <w:rsid w:val="0073627E"/>
    <w:rsid w:val="00752F55"/>
    <w:rsid w:val="007532BE"/>
    <w:rsid w:val="0076742A"/>
    <w:rsid w:val="00775D78"/>
    <w:rsid w:val="007A2110"/>
    <w:rsid w:val="007D21A4"/>
    <w:rsid w:val="00820D85"/>
    <w:rsid w:val="0084496E"/>
    <w:rsid w:val="0088449F"/>
    <w:rsid w:val="008E42A9"/>
    <w:rsid w:val="009122C8"/>
    <w:rsid w:val="00954CFC"/>
    <w:rsid w:val="00971369"/>
    <w:rsid w:val="00997988"/>
    <w:rsid w:val="00A10FA3"/>
    <w:rsid w:val="00A447F3"/>
    <w:rsid w:val="00A6697A"/>
    <w:rsid w:val="00A91C57"/>
    <w:rsid w:val="00AA41C5"/>
    <w:rsid w:val="00AA7FF9"/>
    <w:rsid w:val="00AD1AE8"/>
    <w:rsid w:val="00AE1CCB"/>
    <w:rsid w:val="00B9756A"/>
    <w:rsid w:val="00B97822"/>
    <w:rsid w:val="00BB5BD7"/>
    <w:rsid w:val="00C563E6"/>
    <w:rsid w:val="00CB1107"/>
    <w:rsid w:val="00D507D3"/>
    <w:rsid w:val="00D61421"/>
    <w:rsid w:val="00D93578"/>
    <w:rsid w:val="00DA038A"/>
    <w:rsid w:val="00DC581A"/>
    <w:rsid w:val="00F037D4"/>
    <w:rsid w:val="00F14BB9"/>
    <w:rsid w:val="00F626C9"/>
    <w:rsid w:val="00F72E45"/>
    <w:rsid w:val="00FA0675"/>
    <w:rsid w:val="01976295"/>
    <w:rsid w:val="0450405F"/>
    <w:rsid w:val="05A63650"/>
    <w:rsid w:val="06613632"/>
    <w:rsid w:val="073D5760"/>
    <w:rsid w:val="0832427D"/>
    <w:rsid w:val="0AA2308C"/>
    <w:rsid w:val="0B727AE0"/>
    <w:rsid w:val="0DBD6430"/>
    <w:rsid w:val="0ED95411"/>
    <w:rsid w:val="0EE72A8A"/>
    <w:rsid w:val="0FB77036"/>
    <w:rsid w:val="10CF4BD3"/>
    <w:rsid w:val="11F2531C"/>
    <w:rsid w:val="124952BC"/>
    <w:rsid w:val="13017140"/>
    <w:rsid w:val="16A63CF0"/>
    <w:rsid w:val="16B8415D"/>
    <w:rsid w:val="18173DBD"/>
    <w:rsid w:val="1826375C"/>
    <w:rsid w:val="183E5182"/>
    <w:rsid w:val="19F0177F"/>
    <w:rsid w:val="1A3959BB"/>
    <w:rsid w:val="1E5976F0"/>
    <w:rsid w:val="20C857F6"/>
    <w:rsid w:val="20D074D8"/>
    <w:rsid w:val="214E321F"/>
    <w:rsid w:val="21933438"/>
    <w:rsid w:val="224A05A9"/>
    <w:rsid w:val="23BA0488"/>
    <w:rsid w:val="26894FF1"/>
    <w:rsid w:val="269A4BE8"/>
    <w:rsid w:val="28927581"/>
    <w:rsid w:val="29BA4911"/>
    <w:rsid w:val="2AA16062"/>
    <w:rsid w:val="2AFA6524"/>
    <w:rsid w:val="2B087146"/>
    <w:rsid w:val="2CAF6982"/>
    <w:rsid w:val="2D294E39"/>
    <w:rsid w:val="2F866FB5"/>
    <w:rsid w:val="31A80966"/>
    <w:rsid w:val="31AD3837"/>
    <w:rsid w:val="3543478F"/>
    <w:rsid w:val="36941730"/>
    <w:rsid w:val="36BF5BFA"/>
    <w:rsid w:val="37FD1CE3"/>
    <w:rsid w:val="39487325"/>
    <w:rsid w:val="3A1C75B1"/>
    <w:rsid w:val="3ADB13E2"/>
    <w:rsid w:val="3BC81CAF"/>
    <w:rsid w:val="3F260214"/>
    <w:rsid w:val="413C667B"/>
    <w:rsid w:val="421B375C"/>
    <w:rsid w:val="4227468A"/>
    <w:rsid w:val="467C5744"/>
    <w:rsid w:val="480E22DC"/>
    <w:rsid w:val="4BAD0761"/>
    <w:rsid w:val="4BE7323F"/>
    <w:rsid w:val="4D506C63"/>
    <w:rsid w:val="4DDC65F0"/>
    <w:rsid w:val="4DFC7385"/>
    <w:rsid w:val="4F892BF1"/>
    <w:rsid w:val="4F917C12"/>
    <w:rsid w:val="502E3EA6"/>
    <w:rsid w:val="507A5B65"/>
    <w:rsid w:val="50A75F9C"/>
    <w:rsid w:val="51776A69"/>
    <w:rsid w:val="554369D5"/>
    <w:rsid w:val="55537A68"/>
    <w:rsid w:val="55A35728"/>
    <w:rsid w:val="55DA4E98"/>
    <w:rsid w:val="59D107DF"/>
    <w:rsid w:val="5B8E2529"/>
    <w:rsid w:val="5BBC289D"/>
    <w:rsid w:val="5C2E6051"/>
    <w:rsid w:val="5CA64C2A"/>
    <w:rsid w:val="5CD90AFD"/>
    <w:rsid w:val="5DD77876"/>
    <w:rsid w:val="5E425ADB"/>
    <w:rsid w:val="5EC47924"/>
    <w:rsid w:val="604A3B51"/>
    <w:rsid w:val="6605422F"/>
    <w:rsid w:val="66486F64"/>
    <w:rsid w:val="66DE330A"/>
    <w:rsid w:val="66F75C85"/>
    <w:rsid w:val="690903A9"/>
    <w:rsid w:val="694244B6"/>
    <w:rsid w:val="69830888"/>
    <w:rsid w:val="6A860B21"/>
    <w:rsid w:val="6AF4451D"/>
    <w:rsid w:val="6B09032D"/>
    <w:rsid w:val="6BB32E7C"/>
    <w:rsid w:val="6BDD518E"/>
    <w:rsid w:val="6BF4621A"/>
    <w:rsid w:val="6D410E01"/>
    <w:rsid w:val="6D5D7316"/>
    <w:rsid w:val="6E2137FB"/>
    <w:rsid w:val="6E6D7DAC"/>
    <w:rsid w:val="6F3F1CDD"/>
    <w:rsid w:val="6FC151E7"/>
    <w:rsid w:val="716126EF"/>
    <w:rsid w:val="716A02A9"/>
    <w:rsid w:val="71887ECA"/>
    <w:rsid w:val="76EB6A94"/>
    <w:rsid w:val="771B1CAE"/>
    <w:rsid w:val="78A91CE0"/>
    <w:rsid w:val="7A691F74"/>
    <w:rsid w:val="7C237C23"/>
    <w:rsid w:val="7CCF5C0B"/>
    <w:rsid w:val="7D722E0C"/>
    <w:rsid w:val="7EC3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Strong"/>
    <w:basedOn w:val="7"/>
    <w:qFormat/>
    <w:uiPriority w:val="22"/>
    <w:rPr>
      <w:b/>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日期 Char"/>
    <w:basedOn w:val="7"/>
    <w:link w:val="2"/>
    <w:semiHidden/>
    <w:qFormat/>
    <w:uiPriority w:val="99"/>
    <w:rPr>
      <w:rFonts w:ascii="Times New Roman" w:hAnsi="Times New Roman" w:eastAsia="宋体" w:cs="Times New Roman"/>
      <w:szCs w:val="24"/>
    </w:rPr>
  </w:style>
  <w:style w:type="character" w:customStyle="1" w:styleId="12">
    <w:name w:val="页眉 Char"/>
    <w:basedOn w:val="7"/>
    <w:link w:val="5"/>
    <w:qFormat/>
    <w:uiPriority w:val="99"/>
    <w:rPr>
      <w:rFonts w:ascii="Times New Roman" w:hAnsi="Times New Roman" w:eastAsia="宋体" w:cs="Times New Roman"/>
      <w:kern w:val="2"/>
      <w:sz w:val="18"/>
      <w:szCs w:val="18"/>
    </w:rPr>
  </w:style>
  <w:style w:type="character" w:customStyle="1" w:styleId="13">
    <w:name w:val="页脚 Char"/>
    <w:basedOn w:val="7"/>
    <w:link w:val="4"/>
    <w:qFormat/>
    <w:uiPriority w:val="99"/>
    <w:rPr>
      <w:rFonts w:ascii="Times New Roman" w:hAnsi="Times New Roman" w:eastAsia="宋体" w:cs="Times New Roman"/>
      <w:kern w:val="2"/>
      <w:sz w:val="18"/>
      <w:szCs w:val="18"/>
    </w:rPr>
  </w:style>
  <w:style w:type="character" w:customStyle="1" w:styleId="14">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B3DD4-E952-4780-9396-E8531D0EE395}">
  <ds:schemaRefs/>
</ds:datastoreItem>
</file>

<file path=docProps/app.xml><?xml version="1.0" encoding="utf-8"?>
<Properties xmlns="http://schemas.openxmlformats.org/officeDocument/2006/extended-properties" xmlns:vt="http://schemas.openxmlformats.org/officeDocument/2006/docPropsVTypes">
  <Template>Normal.dotm</Template>
  <Company>NF</Company>
  <Pages>3</Pages>
  <Words>182</Words>
  <Characters>1039</Characters>
  <Lines>8</Lines>
  <Paragraphs>2</Paragraphs>
  <ScaleCrop>false</ScaleCrop>
  <LinksUpToDate>false</LinksUpToDate>
  <CharactersWithSpaces>1219</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2017-06-29T09:12:00Z</dcterms:created>
  <dc:creator>USER</dc:creator>
  <cp:lastModifiedBy>Administrator</cp:lastModifiedBy>
  <cp:lastPrinted>2017-09-21T07:16:00Z</cp:lastPrinted>
  <dcterms:modified xsi:type="dcterms:W3CDTF">2017-09-29T09:35:25Z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